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474B8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474B8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474B8F"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474B8F"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474B8F"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474B8F"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474B8F"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474B8F"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7821D23" w:rsidR="00A63798" w:rsidRDefault="00474B8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6</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74B8F"/>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9F232D"/>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151C"/>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EE2C38-CC0B-47A0-AC4A-B54131CB4CCD}"/>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03F59E03-3908-4E39-B4ED-216103501EF4}">
  <ds:schemaRefs>
    <ds:schemaRef ds:uri="http://www.w3.org/XML/1998/namespac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e8589014-8b34-439f-b5ed-f6e9c532aea9"/>
    <ds:schemaRef ds:uri="http://schemas.microsoft.com/office/2006/documentManagement/types"/>
    <ds:schemaRef ds:uri="http://purl.org/dc/dcmitype/"/>
    <ds:schemaRef ds:uri="5114761b-fdc8-4635-9a0a-3eb103eb6c66"/>
  </ds:schemaRefs>
</ds:datastoreItem>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2025-06-26T11:06:00Z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